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3BC9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tcMar>
              <w:top w:w="150" w:type="dxa"/>
            </w:tcMar>
            <w:vAlign w:val="center"/>
          </w:tcPr>
          <w:p w14:paraId="4FA2A52E">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2025年度全国教育科学规划中国教育法治与全球教育治理研究专项申报公告</w:t>
            </w:r>
          </w:p>
          <w:p w14:paraId="28C6778A">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发表时间：2025-04-28   阅读次数：910   作者：全国教育科学规划领导小组办公室</w:t>
            </w:r>
          </w:p>
          <w:p w14:paraId="7784797B">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为做好全国教育科学规划中国教育法治与全球教育治理研究专项（以下简称法治专项）申报工作，现就有关事项公告如下。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一、专项目的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法治专项面向教育法治建设和教育“引进来”“走出去”的发展需要，重点资助中国教育法治与全球教育治理领域关系教育发展全局的重要理论和现实问题研究，为夯实教育强国建设法治基础，服务教育高水平对外开放提供决策支撑</w:t>
            </w:r>
            <w:r>
              <w:rPr>
                <w:rFonts w:hint="default" w:ascii="仿宋_gb2312" w:hAnsi="仿宋_gb2312" w:eastAsia="仿宋_gb2312" w:cs="仿宋_gb2312"/>
                <w:i w:val="0"/>
                <w:iCs w:val="0"/>
                <w:caps w:val="0"/>
                <w:color w:val="0000FF"/>
                <w:spacing w:val="0"/>
                <w:sz w:val="27"/>
                <w:szCs w:val="27"/>
                <w:shd w:val="clear" w:fill="FFFFFF"/>
              </w:rPr>
              <w:t>。</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二、选题指南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重点项目、一般项目须从相应条目中选择，自拟选题不予受理。培育项目如确有需要，可对选题进行适当微调，但不得大幅压缩或改变研究内容，必须与专项研究领域密切相关。每个选题原则上只确立1个立项项目。项目名称表述要科学严谨、简明规范，避免引起歧义或争议。</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三、资助额度</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专项项目类别和资助额度分别为：重点项目，每项资助额度为35万元；一般项目，每项资助额度为20万元；培育项目，每项资助额度为10万元。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四、申报条件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（一）项目申请人须具备下列条件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2.专项主要面向高等院校、部委直属单位、省级以上研究机构、党校（行政学院）等机构的研究人员申报。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重点项目须具有副高级以上（含）专业技术职称，或者担任副司（局）级以上（含）领导职务。申请一般项目，须具有上述资格，或具有博士学位，或具有10年以上专业领域实践经验及硕士学位。申请培育项目，须具有上述资格，或具有5年以上专业领域实践经验及硕士学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凡以博士学位论文或博士后出站报告为基础申报法治专项，须在《全国教育科学规划项目申请书》（以下简称《申请书》）中，注明所申请项目与学位论文（出站报告）的联系和区别。申请鉴定结项时须提交学位论文（出站报告）原件。不得以已出版的内容基本相同的研究成果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（二）项目申请人所在单位须具备下列条件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1.在相关领域具有较强的师资队伍、研究力量，扎实的学术积累，或丰富的实践经验。</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2.设有负责科研管理工作的职能部门。</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五、申报要求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1.专项申报</w:t>
            </w:r>
            <w:r>
              <w:rPr>
                <w:rStyle w:val="5"/>
                <w:rFonts w:hint="default" w:ascii="仿宋_gb2312" w:hAnsi="仿宋_gb2312" w:eastAsia="仿宋_gb2312" w:cs="仿宋_gb2312"/>
                <w:i w:val="0"/>
                <w:iCs w:val="0"/>
                <w:caps w:val="0"/>
                <w:color w:val="5D6264"/>
                <w:spacing w:val="0"/>
                <w:sz w:val="27"/>
                <w:szCs w:val="27"/>
                <w:shd w:val="clear" w:fill="FFFFFF"/>
              </w:rPr>
              <w:t>不限额</w:t>
            </w:r>
            <w:r>
              <w:rPr>
                <w:rFonts w:hint="default" w:ascii="仿宋_gb2312" w:hAnsi="仿宋_gb2312" w:eastAsia="仿宋_gb2312" w:cs="仿宋_gb2312"/>
                <w:i w:val="0"/>
                <w:iCs w:val="0"/>
                <w:caps w:val="0"/>
                <w:color w:val="5D6264"/>
                <w:spacing w:val="0"/>
                <w:sz w:val="27"/>
                <w:szCs w:val="27"/>
                <w:shd w:val="clear" w:fill="FFFFFF"/>
              </w:rPr>
              <w:t>。各二级管理机构和申请单位要着力提高申报质量，宁缺毋滥。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研究年限为2-3年，不得延期。应用研究和综合研究的成果要求提交决策咨询报告，基础理论研究成果要求发表核心期刊论文。培育项目，如果是应用研究或综合研究，要求至少1篇决策咨询报告被《全国教育科学规划课题成果要报》刊发、或被专项合作单位及以上领导肯定性批示、或被专项合作单位及以上党政机关的内刊刊发。如果是基础理论研究，要求至少发表1篇核心期刊（或SCI、SSCI、CSSCI、A&amp;HCI）论文。一般、重点项目的成果要求须高于培育项目，成果形式、数量和级别与资助金额和研究年限相匹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3.申请人应按照《全国教育科学规划管理办法》和《全国教育科学规划课题资金管理办法》（详见我办网站</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https://onsgep.moe.edu.cn/</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5.获准立项的《申请书》视为具有约束力的资助合同文本。项目负责人应遵守相关承诺，履行约定义务，按期完成研究任务；申报时承诺的预期研究成果为结项时必须达到的要件，不得擅自变更。</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六、工作安排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本年度考试专项实行网络申报，“全国教育科学规划管理平台”（以下简称平台，网址</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）中的“项目申报系统”为唯一申报平台，申报材料可从平台下载。全国教育科学规划领导小组办公室（以下简称全规办）不受理个人申报。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1. 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30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2. 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3. 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《申请书》《活页》和《申报数据汇总表》均</w:t>
            </w:r>
            <w:r>
              <w:rPr>
                <w:rStyle w:val="5"/>
                <w:rFonts w:hint="default" w:ascii="仿宋_gb2312" w:hAnsi="仿宋_gb2312" w:eastAsia="仿宋_gb2312" w:cs="仿宋_gb2312"/>
                <w:i w:val="0"/>
                <w:iCs w:val="0"/>
                <w:caps w:val="0"/>
                <w:color w:val="5D6264"/>
                <w:spacing w:val="0"/>
                <w:sz w:val="27"/>
                <w:szCs w:val="27"/>
                <w:shd w:val="clear" w:fill="FFFFFF"/>
              </w:rPr>
              <w:t>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》。再有疑问，二级管理单位咨询全规办，地方高校请先咨询省级教育规划办（省级教育规划办电话请上管理平台的“通知公告”栏目查询）。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singl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p>
          <w:p w14:paraId="79FBB2C1">
            <w:pPr>
              <w:keepNext w:val="0"/>
              <w:keepLines w:val="0"/>
              <w:widowControl/>
              <w:suppressLineNumbers w:val="0"/>
              <w:pBdr>
                <w:top w:val="none" w:color="auto" w:sz="0" w:space="0"/>
              </w:pBdr>
              <w:spacing w:line="330" w:lineRule="atLeast"/>
              <w:jc w:val="righ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2025年4月27日</w:t>
            </w:r>
          </w:p>
          <w:p w14:paraId="17439790">
            <w:pPr>
              <w:keepNext w:val="0"/>
              <w:keepLines w:val="0"/>
              <w:widowControl/>
              <w:suppressLineNumbers w:val="0"/>
              <w:spacing w:line="330" w:lineRule="atLeast"/>
              <w:jc w:val="lef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w:t>
            </w:r>
          </w:p>
        </w:tc>
      </w:tr>
      <w:tr w14:paraId="532E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4A0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p w14:paraId="1E1C90F6">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5108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1021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1C752821">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"https://onsgep.moe.edu.cn/edoas2/common/showAttachment?eid=8xLNcTZGN11nokcTZGNo1moMcTZmN11fo7cu8xLN&amp;vcode=c144c9844656"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2025年度全国教育科学规划专项指南——教育法治.docx  </w:t>
                        </w:r>
                        <w:r>
                          <w:rPr>
                            <w:rFonts w:hint="eastAsia" w:ascii="宋体" w:hAnsi="宋体" w:eastAsia="宋体" w:cs="宋体"/>
                            <w:color w:val="3A3A3A"/>
                            <w:kern w:val="0"/>
                            <w:sz w:val="18"/>
                            <w:szCs w:val="18"/>
                            <w:u w:val="none"/>
                            <w:lang w:val="en-US" w:eastAsia="zh-CN" w:bidi="ar"/>
                          </w:rPr>
                          <w:fldChar w:fldCharType="end"/>
                        </w:r>
                      </w:p>
                    </w:tc>
                  </w:tr>
                  <w:tr w14:paraId="6752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05D5E068">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"https://onsgep.moe.edu.cn/edoas2/common/showAttachment?eid=8xLNcTZGN11nokcTZGNN1EowcXZMNE1fo7cZ8xLN&amp;vcode=c144c9844656"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4932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DF71777">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"https://onsgep.moe.edu.cn/edoas2/common/showAttachment?eid=8xLNcTZGN11nokcTZGNN1PozcXZzN91fo7cX8xLN&amp;vcode=c144c9844656"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44FE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4DE95DE">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"https://onsgep.moe.edu.cn/edoas2/common/showAttachment?eid=8xLNcTZGN11nokcTZGNN1qozcXZTNZ1fo7c58xLN&amp;vcode=c144c9844656"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bl>
                <w:p w14:paraId="1A136720">
                  <w:pPr>
                    <w:jc w:val="left"/>
                    <w:rPr>
                      <w:rFonts w:hint="eastAsia" w:ascii="宋体" w:hAnsi="宋体" w:eastAsia="宋体" w:cs="宋体"/>
                      <w:color w:val="3A3A3A"/>
                      <w:sz w:val="18"/>
                      <w:szCs w:val="18"/>
                    </w:rPr>
                  </w:pPr>
                </w:p>
              </w:tc>
            </w:tr>
          </w:tbl>
          <w:p w14:paraId="3E16A7A1">
            <w:pPr>
              <w:jc w:val="center"/>
              <w:rPr>
                <w:rFonts w:hint="eastAsia" w:ascii="宋体" w:hAnsi="宋体" w:eastAsia="宋体" w:cs="宋体"/>
                <w:i w:val="0"/>
                <w:iCs w:val="0"/>
                <w:caps w:val="0"/>
                <w:color w:val="3A3A3A"/>
                <w:spacing w:val="0"/>
                <w:sz w:val="18"/>
                <w:szCs w:val="18"/>
              </w:rPr>
            </w:pPr>
          </w:p>
        </w:tc>
      </w:tr>
    </w:tbl>
    <w:p w14:paraId="3BD0E5C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9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2025-04-28T06:48:27Z</dcterms:created>
  <dc:creator>Lenovo</dc:creator>
  <cp:lastModifiedBy>111</cp:lastModifiedBy>
  <dcterms:modified xsi:type="dcterms:W3CDTF">2025-04-28T06:48:56Z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04CB9F4FA1494BC7B56B213B61C097CF_12</vt:lpwstr>
  </property>
</Properties>
</file>