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E6E02"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  <w:bookmarkStart w:id="0" w:name="_GoBack"/>
      <w:bookmarkEnd w:id="0"/>
    </w:p>
    <w:p w14:paraId="78289B66">
      <w:pPr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</w:p>
    <w:p w14:paraId="3EED92FC">
      <w:pPr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</w:p>
    <w:p w14:paraId="4DD7259C">
      <w:pPr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北京市数字教育中心2025年度课题指南</w:t>
      </w:r>
    </w:p>
    <w:p w14:paraId="5E052AE2">
      <w:pPr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</w:p>
    <w:p w14:paraId="453CF47F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</w:p>
    <w:p w14:paraId="6FB63166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</w:p>
    <w:p w14:paraId="2D7D8F42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</w:p>
    <w:p w14:paraId="6070A186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</w:p>
    <w:p w14:paraId="28E06A04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</w:p>
    <w:p w14:paraId="7AD2A48A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</w:p>
    <w:p w14:paraId="189C7609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</w:p>
    <w:p w14:paraId="712A78A4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</w:p>
    <w:p w14:paraId="1C91A8C9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</w:p>
    <w:p w14:paraId="7E28CD2D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</w:p>
    <w:p w14:paraId="69E3747C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</w:p>
    <w:p w14:paraId="61942EC2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</w:p>
    <w:p w14:paraId="1938824D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</w:p>
    <w:p w14:paraId="3DEC1E8C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</w:p>
    <w:p w14:paraId="5199C356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</w:p>
    <w:p w14:paraId="147A3D3B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</w:p>
    <w:p w14:paraId="753E537F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</w:p>
    <w:p w14:paraId="683DE8B6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北京市数字教育中心（北京电化教育馆）</w:t>
      </w:r>
    </w:p>
    <w:p w14:paraId="37C01984">
      <w:pPr>
        <w:spacing w:line="560" w:lineRule="exact"/>
        <w:jc w:val="center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4DB4AEF3">
      <w:pPr>
        <w:widowControl/>
        <w:jc w:val="left"/>
        <w:rPr>
          <w:rFonts w:ascii="仿宋_GB2312" w:hAnsi="等线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5" w:right="1588" w:bottom="1871" w:left="1588" w:header="720" w:footer="1361" w:gutter="0"/>
          <w:pgNumType w:fmt="numberInDash" w:start="1"/>
          <w:cols w:space="720" w:num="1"/>
          <w:titlePg/>
          <w:docGrid w:linePitch="286" w:charSpace="0"/>
        </w:sectPr>
      </w:pPr>
    </w:p>
    <w:p w14:paraId="48E04735">
      <w:pPr>
        <w:spacing w:line="56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本指南旨在以习近平新时代中国特色社会主义思想为指导，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深入学习贯彻党的二十大和二十届二中、三中全会精神以及全国、全市教育大会精神，贯彻落实《教育强国建设规划纲要（2024—2035年）》，</w:t>
      </w:r>
      <w:r>
        <w:rPr>
          <w:rFonts w:hint="eastAsia" w:ascii="仿宋_GB2312" w:hAnsi="等线" w:eastAsia="仿宋_GB2312"/>
          <w:sz w:val="32"/>
          <w:szCs w:val="32"/>
        </w:rPr>
        <w:t>重视以创新为导向的基础研究，加强基于实证的应用研究，强化以标准和规范为主导的实践研究，提高选题的针对性、实效性，形成北京市数字教育发展的创意、理论、制度、标准、规范、模式、方法，体现教育技术促进教育事业科学、均衡、和谐发展的战略性、前瞻性和有效性，支撑首都教育信息化决策，推动首都教育现代化新发展。</w:t>
      </w:r>
    </w:p>
    <w:p w14:paraId="3F27D42E">
      <w:pPr>
        <w:autoSpaceDE w:val="0"/>
        <w:autoSpaceDN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1"/>
          <w:szCs w:val="31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一、研究课题的分类</w:t>
      </w:r>
    </w:p>
    <w:p w14:paraId="6C55990C">
      <w:pPr>
        <w:spacing w:line="56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1.重点课题：要围绕</w:t>
      </w:r>
      <w:r>
        <w:rPr>
          <w:rFonts w:hint="eastAsia" w:ascii="仿宋_GB2312" w:hAnsi="等线" w:eastAsia="仿宋_GB2312"/>
          <w:b/>
          <w:bCs/>
          <w:sz w:val="32"/>
          <w:szCs w:val="32"/>
        </w:rPr>
        <w:t>人工智能与教育融合发展的实践研究</w:t>
      </w:r>
      <w:r>
        <w:rPr>
          <w:rFonts w:hint="eastAsia" w:ascii="仿宋_GB2312" w:hAnsi="等线" w:eastAsia="仿宋_GB2312"/>
          <w:sz w:val="32"/>
          <w:szCs w:val="32"/>
        </w:rPr>
        <w:t>这一方向确定研究题目和内容。</w:t>
      </w:r>
    </w:p>
    <w:p w14:paraId="1A8B1E93">
      <w:pPr>
        <w:spacing w:line="56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2.一般课题：申报人根据数字教育中心颁布的《北京市数字教育研究课题管理办法》（2025年修订版）中的相关规定，可基于但不限于指南确定的内容，自主选择课题研究方向，自主确定具体研究题目和内容。</w:t>
      </w:r>
    </w:p>
    <w:p w14:paraId="091A4A71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课题研究方向</w:t>
      </w:r>
    </w:p>
    <w:p w14:paraId="15B47C85">
      <w:pPr>
        <w:numPr>
          <w:ilvl w:val="0"/>
          <w:numId w:val="2"/>
        </w:numPr>
        <w:spacing w:line="560" w:lineRule="exact"/>
        <w:rPr>
          <w:rFonts w:hint="eastAsia" w:ascii="楷体_GB2312" w:hAnsi="方正楷体_GBK" w:eastAsia="楷体_GB2312" w:cs="方正楷体_GBK"/>
          <w:sz w:val="32"/>
          <w:szCs w:val="32"/>
        </w:rPr>
      </w:pPr>
      <w:r>
        <w:rPr>
          <w:rFonts w:hint="eastAsia" w:ascii="楷体_GB2312" w:hAnsi="方正楷体_GBK" w:eastAsia="楷体_GB2312" w:cs="方正楷体_GBK"/>
          <w:sz w:val="32"/>
          <w:szCs w:val="32"/>
        </w:rPr>
        <w:t>人工智能与教育融合发展的实践研究</w:t>
      </w:r>
    </w:p>
    <w:p w14:paraId="66857FF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1.人工智能支持下的新型教学模式研究</w:t>
      </w:r>
    </w:p>
    <w:p w14:paraId="3793913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2.人工智能技术助力学生个性化学习的实践研究</w:t>
      </w:r>
    </w:p>
    <w:p w14:paraId="7356BD0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3.人工智能促进教育活动有效实施的应用研究</w:t>
      </w:r>
    </w:p>
    <w:p w14:paraId="6DA2738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4.人工智能助力构建多元评价体系的应用研究</w:t>
      </w:r>
    </w:p>
    <w:p w14:paraId="7A3EE08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5.人工智能助力构建新型智能教研生态的应用研究</w:t>
      </w:r>
    </w:p>
    <w:p w14:paraId="141DE13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6.人工智能赋能校园智能化管理的实践研究</w:t>
      </w:r>
    </w:p>
    <w:p w14:paraId="6E773D0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7.人工智能助力学生身心健康发展的实践研究</w:t>
      </w:r>
    </w:p>
    <w:p w14:paraId="2329ED7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8.人工智能通识课程开发与应用研究</w:t>
      </w:r>
    </w:p>
    <w:p w14:paraId="346E8E0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9.教育数据集的管理与维护机制研究</w:t>
      </w:r>
    </w:p>
    <w:p w14:paraId="51ADECD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10.基于教育数据集的学生学习行为分析与预测研究</w:t>
      </w:r>
    </w:p>
    <w:p w14:paraId="2E3F66A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11.教育数据共享平台的构建与应用研究</w:t>
      </w:r>
    </w:p>
    <w:p w14:paraId="2944C49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12.教育数据集在教学质量评估中的应用研究</w:t>
      </w:r>
    </w:p>
    <w:p w14:paraId="1482A98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13.基于人工智能的学科应用场景下高质量数据集规划与设计研究</w:t>
      </w:r>
    </w:p>
    <w:p w14:paraId="1FCA16C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14.基于教育大模型的数据隐私保护与伦理规范研究</w:t>
      </w:r>
    </w:p>
    <w:p w14:paraId="4334831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15.基于教育大模型的数据安全风险评估与防范策略研究</w:t>
      </w:r>
    </w:p>
    <w:p w14:paraId="016CC7A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16.基于多模态学习行为数据的教学模式优化研究</w:t>
      </w:r>
    </w:p>
    <w:p w14:paraId="4347BE4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17.大模型支持下的个性化自适应学习系统的构建研究</w:t>
      </w:r>
    </w:p>
    <w:p w14:paraId="0D6A0DA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18.基于大模型的智能教学辅助工具研发与应用研究</w:t>
      </w:r>
    </w:p>
    <w:p w14:paraId="5756806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19.大模型在教育评价体系中的创新应用研究</w:t>
      </w:r>
    </w:p>
    <w:p w14:paraId="5BF08C2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20.大模型促进跨学科融合教学的实践研究</w:t>
      </w:r>
    </w:p>
    <w:p w14:paraId="5FA2D113">
      <w:pPr>
        <w:spacing w:line="560" w:lineRule="exact"/>
        <w:ind w:firstLine="640" w:firstLineChars="200"/>
        <w:rPr>
          <w:rFonts w:hint="eastAsia" w:ascii="楷体_GB2312" w:hAnsi="方正楷体_GBK" w:eastAsia="楷体_GB2312" w:cs="方正楷体_GBK"/>
          <w:sz w:val="32"/>
          <w:szCs w:val="32"/>
        </w:rPr>
      </w:pPr>
      <w:r>
        <w:rPr>
          <w:rFonts w:hint="eastAsia" w:ascii="楷体_GB2312" w:hAnsi="方正楷体_GBK" w:eastAsia="楷体_GB2312" w:cs="方正楷体_GBK"/>
          <w:sz w:val="32"/>
          <w:szCs w:val="32"/>
        </w:rPr>
        <w:t>（二）教育数字化转型改革创新的实践研究</w:t>
      </w:r>
    </w:p>
    <w:p w14:paraId="791BC6D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1.新技术促进教育教学变革的实践研究</w:t>
      </w:r>
    </w:p>
    <w:p w14:paraId="075BB85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2.新型数字教育人才培养模式创新研究</w:t>
      </w:r>
    </w:p>
    <w:p w14:paraId="4019F46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3.新型基础设施建设与应用创新研究（包含5G、IP</w:t>
      </w:r>
      <w:r>
        <w:rPr>
          <w:rFonts w:ascii="仿宋_GB2312" w:hAnsi="仿宋_GB2312" w:eastAsia="仿宋_GB2312" w:cs="仿宋_GB2312"/>
          <w:sz w:val="32"/>
          <w:szCs w:val="32"/>
        </w:rPr>
        <w:t>v</w:t>
      </w:r>
      <w:r>
        <w:rPr>
          <w:rFonts w:hint="eastAsia" w:ascii="仿宋_GB2312" w:hAnsi="仿宋_GB2312" w:eastAsia="仿宋_GB2312" w:cs="仿宋_GB2312"/>
          <w:sz w:val="32"/>
          <w:szCs w:val="32"/>
        </w:rPr>
        <w:t>6等技术的创新应用研究）</w:t>
      </w:r>
    </w:p>
    <w:p w14:paraId="4563FD7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4.数字教育资源的建设与应用研究</w:t>
      </w:r>
    </w:p>
    <w:p w14:paraId="54AB0D1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5.教育数字化转型背景下诚信教育策略研究</w:t>
      </w:r>
    </w:p>
    <w:p w14:paraId="58E645C8">
      <w:pPr>
        <w:spacing w:line="560" w:lineRule="exact"/>
        <w:ind w:firstLine="640" w:firstLineChars="200"/>
        <w:rPr>
          <w:rFonts w:hint="eastAsia" w:ascii="楷体_GB2312" w:hAnsi="方正楷体_GBK" w:eastAsia="楷体_GB2312" w:cs="方正楷体_GBK"/>
          <w:sz w:val="32"/>
          <w:szCs w:val="32"/>
        </w:rPr>
      </w:pPr>
      <w:r>
        <w:rPr>
          <w:rFonts w:hint="eastAsia" w:ascii="楷体_GB2312" w:hAnsi="方正楷体_GBK" w:eastAsia="楷体_GB2312" w:cs="方正楷体_GBK"/>
          <w:sz w:val="32"/>
          <w:szCs w:val="32"/>
        </w:rPr>
        <w:t>（三）智慧教育探索与实践研究</w:t>
      </w:r>
    </w:p>
    <w:p w14:paraId="247D7BC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1.智能化新型教育教学场景建设与应用研究</w:t>
      </w:r>
    </w:p>
    <w:p w14:paraId="1339547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2.国家智慧教育平台和北京市智慧教育平台的应用研究</w:t>
      </w:r>
    </w:p>
    <w:p w14:paraId="26208AA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3.一体化教育管理模式建设与应用研究</w:t>
      </w:r>
    </w:p>
    <w:p w14:paraId="2A66EBE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4.教育数据共享应用实践研究</w:t>
      </w:r>
    </w:p>
    <w:p w14:paraId="5BBE1C8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5.基于智能分类分级能力的数据安全治理体系研究</w:t>
      </w:r>
    </w:p>
    <w:p w14:paraId="2C32AA9D">
      <w:pPr>
        <w:spacing w:line="560" w:lineRule="exact"/>
        <w:ind w:firstLine="640" w:firstLineChars="200"/>
        <w:rPr>
          <w:rFonts w:hint="eastAsia" w:ascii="楷体_GB2312" w:hAnsi="方正楷体_GBK" w:eastAsia="楷体_GB2312" w:cs="方正楷体_GBK"/>
          <w:sz w:val="32"/>
          <w:szCs w:val="32"/>
        </w:rPr>
      </w:pPr>
      <w:r>
        <w:rPr>
          <w:rFonts w:hint="eastAsia" w:ascii="楷体_GB2312" w:hAnsi="方正楷体_GBK" w:eastAsia="楷体_GB2312" w:cs="方正楷体_GBK"/>
          <w:sz w:val="32"/>
          <w:szCs w:val="32"/>
        </w:rPr>
        <w:t>（四）数字教育装备赋能教育教学研究</w:t>
      </w:r>
    </w:p>
    <w:p w14:paraId="4402E545">
      <w:pPr>
        <w:spacing w:line="560" w:lineRule="exact"/>
        <w:ind w:firstLine="640" w:firstLineChars="200"/>
        <w:rPr>
          <w:rFonts w:hint="eastAsia"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color w:val="000000"/>
          <w:sz w:val="32"/>
          <w:szCs w:val="32"/>
        </w:rPr>
        <w:t>1.人工智能在中小学实验教学与考试评价中的研究</w:t>
      </w:r>
    </w:p>
    <w:p w14:paraId="35B6C612">
      <w:pPr>
        <w:spacing w:line="560" w:lineRule="exact"/>
        <w:ind w:firstLine="640" w:firstLineChars="200"/>
        <w:rPr>
          <w:rFonts w:hint="eastAsia"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color w:val="000000"/>
          <w:sz w:val="32"/>
          <w:szCs w:val="32"/>
        </w:rPr>
        <w:t>2.提升中小学教育装备数字化、智能化的应用研究</w:t>
      </w:r>
    </w:p>
    <w:p w14:paraId="690A0ABD">
      <w:pPr>
        <w:spacing w:line="560" w:lineRule="exact"/>
        <w:ind w:firstLine="640" w:firstLineChars="200"/>
        <w:rPr>
          <w:rFonts w:hint="eastAsia"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color w:val="000000"/>
          <w:sz w:val="32"/>
          <w:szCs w:val="32"/>
        </w:rPr>
        <w:t>3.中小学智慧图书馆建设研究</w:t>
      </w:r>
    </w:p>
    <w:p w14:paraId="3AB99062">
      <w:pPr>
        <w:spacing w:line="560" w:lineRule="exact"/>
        <w:ind w:firstLine="640" w:firstLineChars="200"/>
        <w:rPr>
          <w:rFonts w:hint="eastAsia"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/>
          <w:color w:val="000000"/>
          <w:sz w:val="32"/>
          <w:szCs w:val="32"/>
        </w:rPr>
        <w:t>4.基于大数据的中小学生阅读行为分析研究</w:t>
      </w:r>
    </w:p>
    <w:p w14:paraId="4311AF33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等线" w:eastAsia="仿宋_GB2312"/>
          <w:color w:val="000000"/>
          <w:sz w:val="32"/>
          <w:szCs w:val="32"/>
        </w:rPr>
        <w:t>5.数字技术支持下的学科实验教学模式研究</w:t>
      </w:r>
    </w:p>
    <w:p w14:paraId="603A7044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三、成果要求</w:t>
      </w:r>
    </w:p>
    <w:p w14:paraId="2FE5A62F">
      <w:pPr>
        <w:spacing w:line="560" w:lineRule="exact"/>
        <w:ind w:firstLine="64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（一）成果导向。</w:t>
      </w:r>
      <w:r>
        <w:rPr>
          <w:rFonts w:hint="eastAsia" w:ascii="仿宋_GB2312" w:hAnsi="等线" w:eastAsia="仿宋_GB2312"/>
          <w:sz w:val="32"/>
          <w:szCs w:val="32"/>
        </w:rPr>
        <w:t>课题研究成果的形式可以是研究报告（必选）、实践案例集、数字化工具或平台、教学课例、培训手册等多元载体。重点课题应出版有关论著1部，或在核心刊物上发表1篇及以上与课题有关的论文，或在正式出版刊物、具有网络出版资质的电子刊物上发表2篇及以上与课题有关的论文；一般课题至少在正式出版刊物、具有网络出版资质的电子刊物上发表1篇以上与课题有关的论文。</w:t>
      </w:r>
    </w:p>
    <w:p w14:paraId="7574195D">
      <w:pPr>
        <w:spacing w:line="560" w:lineRule="exact"/>
        <w:ind w:firstLine="64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（二）实践引领。</w:t>
      </w:r>
      <w:r>
        <w:rPr>
          <w:rFonts w:hint="eastAsia" w:ascii="仿宋_GB2312" w:hAnsi="等线" w:eastAsia="仿宋_GB2312"/>
          <w:sz w:val="32"/>
          <w:szCs w:val="32"/>
        </w:rPr>
        <w:t>课题研究成果聚焦教育数字化转型形势要求，开展人工智能在教育领域的实践探索和场景应用，关注数字教育资源整合汇聚与高质量教育数据集利用等问题，提供可操作的实施路径和典型案例。研究成果应体现实践过程、应用成效、典型案例及相关数据支撑材料。</w:t>
      </w:r>
    </w:p>
    <w:p w14:paraId="48A58F64">
      <w:pPr>
        <w:spacing w:line="56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以点带面</w:t>
      </w:r>
      <w:r>
        <w:rPr>
          <w:rFonts w:hint="eastAsia" w:ascii="楷体" w:hAnsi="楷体" w:eastAsia="楷体" w:cs="楷体"/>
          <w:sz w:val="32"/>
          <w:szCs w:val="32"/>
          <w:lang w:val="en"/>
        </w:rPr>
        <w:t>。</w:t>
      </w:r>
      <w:r>
        <w:rPr>
          <w:rFonts w:hint="eastAsia" w:ascii="仿宋_GB2312" w:hAnsi="等线" w:eastAsia="仿宋_GB2312"/>
          <w:sz w:val="32"/>
          <w:szCs w:val="32"/>
          <w:lang w:val="en"/>
        </w:rPr>
        <w:t>课题研究成果要</w:t>
      </w:r>
      <w:r>
        <w:rPr>
          <w:rFonts w:hint="eastAsia" w:ascii="仿宋_GB2312" w:hAnsi="等线" w:eastAsia="仿宋_GB2312"/>
          <w:sz w:val="32"/>
          <w:szCs w:val="32"/>
        </w:rPr>
        <w:t>对</w:t>
      </w:r>
      <w:r>
        <w:rPr>
          <w:rFonts w:hint="eastAsia" w:ascii="仿宋_GB2312" w:hAnsi="等线" w:eastAsia="仿宋_GB2312"/>
          <w:sz w:val="32"/>
          <w:szCs w:val="32"/>
          <w:lang w:val="en"/>
        </w:rPr>
        <w:t>区域</w:t>
      </w:r>
      <w:r>
        <w:rPr>
          <w:rFonts w:hint="eastAsia" w:ascii="仿宋_GB2312" w:hAnsi="等线" w:eastAsia="仿宋_GB2312"/>
          <w:sz w:val="32"/>
          <w:szCs w:val="32"/>
        </w:rPr>
        <w:t>教育数字化发展具有较强的指导意义和应用价值</w:t>
      </w:r>
      <w:r>
        <w:rPr>
          <w:rFonts w:hint="eastAsia" w:ascii="仿宋_GB2312" w:hAnsi="等线" w:eastAsia="仿宋_GB2312"/>
          <w:sz w:val="32"/>
          <w:szCs w:val="32"/>
          <w:lang w:val="en"/>
        </w:rPr>
        <w:t>，</w:t>
      </w:r>
      <w:r>
        <w:rPr>
          <w:rFonts w:hint="eastAsia" w:ascii="仿宋_GB2312" w:hAnsi="等线" w:eastAsia="仿宋_GB2312"/>
          <w:sz w:val="32"/>
          <w:szCs w:val="32"/>
        </w:rPr>
        <w:t>通过课题的研究为区域、学校的教育发展</w:t>
      </w:r>
      <w:r>
        <w:rPr>
          <w:rFonts w:hint="eastAsia" w:ascii="仿宋_GB2312" w:hAnsi="等线" w:eastAsia="仿宋_GB2312"/>
          <w:sz w:val="32"/>
          <w:szCs w:val="32"/>
          <w:lang w:val="en"/>
        </w:rPr>
        <w:t>提供</w:t>
      </w:r>
      <w:r>
        <w:rPr>
          <w:rFonts w:hint="eastAsia" w:ascii="仿宋_GB2312" w:hAnsi="等线" w:eastAsia="仿宋_GB2312"/>
          <w:sz w:val="32"/>
          <w:szCs w:val="32"/>
        </w:rPr>
        <w:t>可操作、</w:t>
      </w:r>
      <w:r>
        <w:rPr>
          <w:rFonts w:hint="eastAsia" w:ascii="仿宋_GB2312" w:hAnsi="等线" w:eastAsia="仿宋_GB2312"/>
          <w:sz w:val="32"/>
          <w:szCs w:val="32"/>
          <w:lang w:val="en"/>
        </w:rPr>
        <w:t>可落地的方法论</w:t>
      </w:r>
      <w:r>
        <w:rPr>
          <w:rFonts w:hint="eastAsia" w:ascii="仿宋_GB2312" w:hAnsi="等线" w:eastAsia="仿宋_GB2312"/>
          <w:sz w:val="32"/>
          <w:szCs w:val="32"/>
        </w:rPr>
        <w:t>和</w:t>
      </w:r>
      <w:r>
        <w:rPr>
          <w:rFonts w:hint="eastAsia" w:ascii="仿宋_GB2312" w:hAnsi="等线" w:eastAsia="仿宋_GB2312"/>
          <w:sz w:val="32"/>
          <w:szCs w:val="32"/>
          <w:lang w:val="en"/>
        </w:rPr>
        <w:t>工具箱，</w:t>
      </w:r>
      <w:r>
        <w:rPr>
          <w:rFonts w:hint="eastAsia" w:ascii="仿宋_GB2312" w:hAnsi="等线" w:eastAsia="仿宋_GB2312"/>
          <w:sz w:val="32"/>
          <w:szCs w:val="32"/>
        </w:rPr>
        <w:t>逐步带动区域、学校规模化应用，有效破解教育教学中的痛点难点问题，为</w:t>
      </w:r>
      <w:r>
        <w:rPr>
          <w:rFonts w:hint="eastAsia" w:ascii="仿宋_GB2312" w:hAnsi="等线" w:eastAsia="仿宋_GB2312"/>
          <w:sz w:val="32"/>
          <w:szCs w:val="32"/>
          <w:lang w:val="en"/>
        </w:rPr>
        <w:t>提升</w:t>
      </w:r>
      <w:r>
        <w:rPr>
          <w:rFonts w:hint="eastAsia" w:ascii="仿宋_GB2312" w:hAnsi="等线" w:eastAsia="仿宋_GB2312"/>
          <w:sz w:val="32"/>
          <w:szCs w:val="32"/>
        </w:rPr>
        <w:t>首都</w:t>
      </w:r>
      <w:r>
        <w:rPr>
          <w:rFonts w:hint="eastAsia" w:ascii="仿宋_GB2312" w:hAnsi="等线" w:eastAsia="仿宋_GB2312"/>
          <w:sz w:val="32"/>
          <w:szCs w:val="32"/>
          <w:lang w:val="en"/>
        </w:rPr>
        <w:t>教育高质量发展</w:t>
      </w:r>
      <w:r>
        <w:rPr>
          <w:rFonts w:hint="eastAsia" w:ascii="仿宋_GB2312" w:hAnsi="等线" w:eastAsia="仿宋_GB2312"/>
          <w:sz w:val="32"/>
          <w:szCs w:val="32"/>
        </w:rPr>
        <w:t>提供</w:t>
      </w:r>
      <w:r>
        <w:rPr>
          <w:rFonts w:hint="eastAsia" w:ascii="仿宋_GB2312" w:hAnsi="等线" w:eastAsia="仿宋_GB2312"/>
          <w:sz w:val="32"/>
          <w:szCs w:val="32"/>
          <w:lang w:val="en"/>
        </w:rPr>
        <w:t>动能。</w:t>
      </w:r>
    </w:p>
    <w:p w14:paraId="6F2D46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7074CC-FC43-4A8C-A7C4-E16CC85414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67B5BB9-6454-401E-A678-88E6AFB6A92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771FA2D7-D4FB-41DA-86D8-9CF30B5AC031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4" w:fontKey="{0610979C-1762-4AA6-80B3-C40C0657ABE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F0E3C96-1011-45AF-98B6-FF331C8790A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483A064D-F008-4E3C-986A-8281A3EFE13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E04AC93B-C7A2-4968-8A07-DA9ECEBB969F}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8" w:fontKey="{33CE2829-D402-4689-9F19-9679DFEA3FA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94F1DF1D-ACD0-48EB-9FE3-000E36324C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FFACC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13 -</w:t>
    </w:r>
    <w:r>
      <w:rPr>
        <w:rFonts w:ascii="宋体" w:hAnsi="宋体"/>
        <w:sz w:val="28"/>
        <w:szCs w:val="28"/>
      </w:rPr>
      <w:fldChar w:fldCharType="end"/>
    </w:r>
  </w:p>
  <w:p w14:paraId="1510827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9C109">
    <w:pPr>
      <w:pStyle w:val="2"/>
      <w:rPr>
        <w:rFonts w:ascii="宋体" w:hAnsi="宋体"/>
        <w:sz w:val="28"/>
        <w:szCs w:val="28"/>
      </w:rPr>
    </w:pPr>
  </w:p>
  <w:p w14:paraId="2D440C2A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383939"/>
    <w:multiLevelType w:val="singleLevel"/>
    <w:tmpl w:val="8D383939"/>
    <w:lvl w:ilvl="0" w:tentative="0">
      <w:start w:val="1"/>
      <w:numFmt w:val="chineseCounting"/>
      <w:suff w:val="nothing"/>
      <w:lvlText w:val="（%1）"/>
      <w:lvlJc w:val="left"/>
      <w:pPr>
        <w:ind w:left="640" w:firstLine="0"/>
      </w:pPr>
    </w:lvl>
  </w:abstractNum>
  <w:abstractNum w:abstractNumId="1">
    <w:nsid w:val="38B5744F"/>
    <w:multiLevelType w:val="singleLevel"/>
    <w:tmpl w:val="38B5744F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1"/>
    <w:lvlOverride w:ilvl="0">
      <w:startOverride w:val="2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4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2025-05-13T07:32:10Z</dcterms:created>
  <dc:creator>Lenovo</dc:creator>
  <cp:lastModifiedBy>111</cp:lastModifiedBy>
  <dcterms:modified xsi:type="dcterms:W3CDTF">2025-05-13T07:32:46Z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eyJoZGlkIjoiNjk2YTc5NzFkMjI2MzJhMWZlNmJhYzRlN2M1NTdmZGUiLCJ1c2VySWQiOiIyMzY1MzM2OTYifQ==</vt:lpwstr>
  </property>
  <property fmtid="{D5CDD505-2E9C-101B-9397-08002B2CF9AE}" pid="4" name="ICV">
    <vt:lpwstr>A45456753B57457282CE8732FBB633AA_12</vt:lpwstr>
  </property>
</Properties>
</file>